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68" w:rsidRPr="00916A5D" w:rsidRDefault="004C68D4">
      <w:pPr>
        <w:rPr>
          <w:b/>
          <w:sz w:val="36"/>
        </w:rPr>
      </w:pPr>
      <w:bookmarkStart w:id="0" w:name="_GoBack"/>
      <w:bookmarkEnd w:id="0"/>
      <w:r>
        <w:rPr>
          <w:b/>
          <w:sz w:val="36"/>
        </w:rPr>
        <w:t xml:space="preserve">Darland High School. </w:t>
      </w:r>
      <w:r w:rsidR="0006035E">
        <w:rPr>
          <w:b/>
          <w:sz w:val="36"/>
        </w:rPr>
        <w:t>Budget Plan for Pupil Deprivation Grant</w:t>
      </w:r>
      <w:r w:rsidR="007A2A05" w:rsidRPr="00916A5D">
        <w:rPr>
          <w:b/>
          <w:sz w:val="36"/>
        </w:rPr>
        <w:t xml:space="preserve"> </w:t>
      </w:r>
      <w:r w:rsidR="0006035E">
        <w:rPr>
          <w:b/>
          <w:sz w:val="36"/>
        </w:rPr>
        <w:t xml:space="preserve">(PDG) </w:t>
      </w:r>
      <w:r w:rsidR="007A2A05" w:rsidRPr="00916A5D">
        <w:rPr>
          <w:b/>
          <w:sz w:val="36"/>
        </w:rPr>
        <w:t xml:space="preserve">in </w:t>
      </w:r>
      <w:r w:rsidR="0006035E">
        <w:rPr>
          <w:b/>
          <w:sz w:val="36"/>
        </w:rPr>
        <w:t>201</w:t>
      </w:r>
      <w:r w:rsidR="0050259C">
        <w:rPr>
          <w:b/>
          <w:sz w:val="36"/>
        </w:rPr>
        <w:t>9-</w:t>
      </w:r>
      <w:r w:rsidR="0006035E">
        <w:rPr>
          <w:b/>
          <w:sz w:val="36"/>
        </w:rPr>
        <w:t>20</w:t>
      </w:r>
      <w:r w:rsidR="0050259C">
        <w:rPr>
          <w:b/>
          <w:sz w:val="36"/>
        </w:rPr>
        <w:t>20</w:t>
      </w:r>
      <w:r w:rsidR="007A2A05" w:rsidRPr="00916A5D">
        <w:rPr>
          <w:b/>
          <w:sz w:val="36"/>
        </w:rPr>
        <w:t>.</w:t>
      </w:r>
    </w:p>
    <w:p w:rsidR="007A2A05" w:rsidRPr="0006035E" w:rsidRDefault="0006035E">
      <w:pPr>
        <w:rPr>
          <w:b/>
          <w:sz w:val="32"/>
        </w:rPr>
      </w:pPr>
      <w:r w:rsidRPr="0006035E">
        <w:rPr>
          <w:b/>
          <w:sz w:val="32"/>
        </w:rPr>
        <w:t>Indicative total for PDG in 201</w:t>
      </w:r>
      <w:r w:rsidR="00817A9C">
        <w:rPr>
          <w:b/>
          <w:sz w:val="32"/>
        </w:rPr>
        <w:t>9</w:t>
      </w:r>
      <w:r w:rsidRPr="0006035E">
        <w:rPr>
          <w:b/>
          <w:sz w:val="32"/>
        </w:rPr>
        <w:t>-</w:t>
      </w:r>
      <w:r w:rsidR="00817A9C">
        <w:rPr>
          <w:b/>
          <w:sz w:val="32"/>
        </w:rPr>
        <w:t>20</w:t>
      </w:r>
      <w:r w:rsidRPr="0006035E">
        <w:rPr>
          <w:b/>
          <w:sz w:val="32"/>
        </w:rPr>
        <w:t xml:space="preserve"> = £93,150</w:t>
      </w:r>
    </w:p>
    <w:p w:rsidR="0006035E" w:rsidRDefault="0006035E"/>
    <w:tbl>
      <w:tblPr>
        <w:tblStyle w:val="TableGrid"/>
        <w:tblW w:w="0" w:type="auto"/>
        <w:tblLook w:val="04A0" w:firstRow="1" w:lastRow="0" w:firstColumn="1" w:lastColumn="0" w:noHBand="0" w:noVBand="1"/>
      </w:tblPr>
      <w:tblGrid>
        <w:gridCol w:w="2660"/>
        <w:gridCol w:w="4252"/>
        <w:gridCol w:w="3402"/>
        <w:gridCol w:w="1085"/>
        <w:gridCol w:w="4018"/>
      </w:tblGrid>
      <w:tr w:rsidR="00EC6132" w:rsidRPr="00282474" w:rsidTr="00EC6132">
        <w:trPr>
          <w:trHeight w:val="255"/>
        </w:trPr>
        <w:tc>
          <w:tcPr>
            <w:tcW w:w="2660" w:type="dxa"/>
            <w:shd w:val="clear" w:color="auto" w:fill="FFFFFF" w:themeFill="background1"/>
            <w:noWrap/>
          </w:tcPr>
          <w:p w:rsidR="00EC6132" w:rsidRPr="00E740E1" w:rsidRDefault="00EC6132">
            <w:pPr>
              <w:rPr>
                <w:b/>
                <w:sz w:val="24"/>
              </w:rPr>
            </w:pPr>
            <w:r w:rsidRPr="00E740E1">
              <w:rPr>
                <w:b/>
                <w:sz w:val="24"/>
              </w:rPr>
              <w:t>Item of spend</w:t>
            </w:r>
          </w:p>
        </w:tc>
        <w:tc>
          <w:tcPr>
            <w:tcW w:w="4252" w:type="dxa"/>
          </w:tcPr>
          <w:p w:rsidR="00EC6132" w:rsidRPr="00282474" w:rsidRDefault="00EC6132" w:rsidP="00282474">
            <w:pPr>
              <w:rPr>
                <w:b/>
                <w:sz w:val="24"/>
              </w:rPr>
            </w:pPr>
            <w:r w:rsidRPr="00282474">
              <w:rPr>
                <w:b/>
                <w:sz w:val="24"/>
              </w:rPr>
              <w:t>Rationale</w:t>
            </w:r>
          </w:p>
        </w:tc>
        <w:tc>
          <w:tcPr>
            <w:tcW w:w="3402" w:type="dxa"/>
          </w:tcPr>
          <w:p w:rsidR="00EC6132" w:rsidRPr="00282474" w:rsidRDefault="00EC6132" w:rsidP="00282474">
            <w:pPr>
              <w:rPr>
                <w:b/>
                <w:sz w:val="24"/>
              </w:rPr>
            </w:pPr>
            <w:r w:rsidRPr="00282474">
              <w:rPr>
                <w:b/>
                <w:sz w:val="24"/>
              </w:rPr>
              <w:t>Criteria for success</w:t>
            </w:r>
          </w:p>
        </w:tc>
        <w:tc>
          <w:tcPr>
            <w:tcW w:w="1085" w:type="dxa"/>
            <w:noWrap/>
          </w:tcPr>
          <w:p w:rsidR="00EC6132" w:rsidRPr="00282474" w:rsidRDefault="00EC6132" w:rsidP="00282474">
            <w:pPr>
              <w:rPr>
                <w:b/>
                <w:sz w:val="24"/>
              </w:rPr>
            </w:pPr>
            <w:r>
              <w:rPr>
                <w:b/>
                <w:sz w:val="24"/>
              </w:rPr>
              <w:t xml:space="preserve"> C</w:t>
            </w:r>
            <w:r w:rsidRPr="00282474">
              <w:rPr>
                <w:b/>
                <w:sz w:val="24"/>
              </w:rPr>
              <w:t>ost</w:t>
            </w:r>
          </w:p>
        </w:tc>
        <w:tc>
          <w:tcPr>
            <w:tcW w:w="4018" w:type="dxa"/>
          </w:tcPr>
          <w:p w:rsidR="00EC6132" w:rsidRPr="00282474" w:rsidRDefault="008D374B" w:rsidP="00A05823">
            <w:pPr>
              <w:rPr>
                <w:b/>
                <w:sz w:val="24"/>
              </w:rPr>
            </w:pPr>
            <w:r>
              <w:rPr>
                <w:b/>
                <w:sz w:val="24"/>
              </w:rPr>
              <w:t>Evaluation April 20</w:t>
            </w:r>
            <w:r w:rsidR="00A05823">
              <w:rPr>
                <w:b/>
                <w:sz w:val="24"/>
              </w:rPr>
              <w:t>20</w:t>
            </w:r>
          </w:p>
        </w:tc>
      </w:tr>
      <w:tr w:rsidR="008839E7" w:rsidRPr="00282474" w:rsidTr="00EC6132">
        <w:trPr>
          <w:trHeight w:val="537"/>
        </w:trPr>
        <w:tc>
          <w:tcPr>
            <w:tcW w:w="2660" w:type="dxa"/>
            <w:shd w:val="clear" w:color="auto" w:fill="FFFFFF" w:themeFill="background1"/>
            <w:noWrap/>
          </w:tcPr>
          <w:p w:rsidR="008839E7" w:rsidRDefault="00817A9C" w:rsidP="00282474">
            <w:r>
              <w:t>Contribution to pastoral staffing:</w:t>
            </w:r>
          </w:p>
          <w:p w:rsidR="00817A9C" w:rsidRPr="00E740E1" w:rsidRDefault="00817A9C" w:rsidP="00282474">
            <w:r>
              <w:t>3 Behaviour for Learning mentors + part funding of a specialist LSA to run a Forest Schools programme for vulnerable pupils in KS3</w:t>
            </w:r>
          </w:p>
        </w:tc>
        <w:tc>
          <w:tcPr>
            <w:tcW w:w="4252" w:type="dxa"/>
          </w:tcPr>
          <w:p w:rsidR="008839E7" w:rsidRDefault="00817A9C" w:rsidP="00282474">
            <w:r>
              <w:t xml:space="preserve">The well being of pupils is a key priority of the school and is reflected in the Estyn Framework. </w:t>
            </w:r>
            <w:r w:rsidR="0050259C">
              <w:t>One of the personnel funded by the PDG works with pupils with high rates of absenteeism, creating links with parents and managing attendance strategies.</w:t>
            </w:r>
          </w:p>
          <w:p w:rsidR="0050259C" w:rsidRDefault="0050259C" w:rsidP="00282474">
            <w:r>
              <w:t>Another mentor staffs our Seclusion Centre, which helps maintain god behaviour through providing sanctions for mis-behaviour, while avoiding the need for exclusion.</w:t>
            </w:r>
          </w:p>
          <w:p w:rsidR="0050259C" w:rsidRPr="00282474" w:rsidRDefault="0050259C" w:rsidP="00282474">
            <w:r>
              <w:t>The third member of the team funded through the PDG, works to settle altercations between pupils and to provide support for those with social and emotional difficulties.</w:t>
            </w:r>
          </w:p>
        </w:tc>
        <w:tc>
          <w:tcPr>
            <w:tcW w:w="3402" w:type="dxa"/>
          </w:tcPr>
          <w:p w:rsidR="0050259C" w:rsidRDefault="0050259C" w:rsidP="0050259C">
            <w:pPr>
              <w:pStyle w:val="ListParagraph"/>
              <w:numPr>
                <w:ilvl w:val="0"/>
                <w:numId w:val="3"/>
              </w:numPr>
            </w:pPr>
            <w:r>
              <w:t>Attendance to be at least 94.5% by April 2020, while attendance for the FSM cohort to rise to 92%</w:t>
            </w:r>
          </w:p>
          <w:p w:rsidR="008839E7" w:rsidRDefault="0050259C" w:rsidP="0050259C">
            <w:pPr>
              <w:pStyle w:val="ListParagraph"/>
              <w:numPr>
                <w:ilvl w:val="0"/>
                <w:numId w:val="3"/>
              </w:numPr>
            </w:pPr>
            <w:r>
              <w:t>Reduction in exclusions</w:t>
            </w:r>
          </w:p>
          <w:p w:rsidR="0050259C" w:rsidRDefault="0050259C" w:rsidP="0050259C">
            <w:pPr>
              <w:pStyle w:val="ListParagraph"/>
              <w:numPr>
                <w:ilvl w:val="0"/>
                <w:numId w:val="3"/>
              </w:numPr>
            </w:pPr>
            <w:r>
              <w:t>Improved behaviour in lessons and around the school.</w:t>
            </w:r>
          </w:p>
          <w:p w:rsidR="0050259C" w:rsidRPr="00282474" w:rsidRDefault="0050259C" w:rsidP="00282474"/>
        </w:tc>
        <w:tc>
          <w:tcPr>
            <w:tcW w:w="1085" w:type="dxa"/>
            <w:noWrap/>
          </w:tcPr>
          <w:p w:rsidR="008839E7" w:rsidRPr="005F46AC" w:rsidRDefault="0050259C" w:rsidP="004F4103">
            <w:r w:rsidRPr="005F46AC">
              <w:t>20,</w:t>
            </w:r>
            <w:r w:rsidR="007E606D" w:rsidRPr="005F46AC">
              <w:t>449</w:t>
            </w:r>
          </w:p>
          <w:p w:rsidR="007E606D" w:rsidRPr="005F46AC" w:rsidRDefault="007E606D" w:rsidP="004F4103">
            <w:r w:rsidRPr="005F46AC">
              <w:t>20,381</w:t>
            </w:r>
          </w:p>
          <w:p w:rsidR="007E606D" w:rsidRPr="005F46AC" w:rsidRDefault="007E606D" w:rsidP="004F4103">
            <w:r w:rsidRPr="005F46AC">
              <w:t>19,819</w:t>
            </w:r>
          </w:p>
          <w:p w:rsidR="007E606D" w:rsidRPr="005F46AC" w:rsidRDefault="007E606D" w:rsidP="004F4103">
            <w:r w:rsidRPr="005F46AC">
              <w:t>7,611</w:t>
            </w:r>
          </w:p>
          <w:p w:rsidR="007E606D" w:rsidRPr="005F46AC" w:rsidRDefault="007E606D" w:rsidP="004F4103"/>
          <w:p w:rsidR="007E606D" w:rsidRPr="005F46AC" w:rsidRDefault="007E606D" w:rsidP="004F4103"/>
          <w:p w:rsidR="007E606D" w:rsidRPr="005F46AC" w:rsidRDefault="007E606D" w:rsidP="004F4103"/>
        </w:tc>
        <w:tc>
          <w:tcPr>
            <w:tcW w:w="4018" w:type="dxa"/>
          </w:tcPr>
          <w:p w:rsidR="008839E7" w:rsidRPr="00282474" w:rsidRDefault="008839E7" w:rsidP="00C449A9"/>
        </w:tc>
      </w:tr>
      <w:tr w:rsidR="008839E7" w:rsidRPr="00282474" w:rsidTr="00EC6132">
        <w:trPr>
          <w:trHeight w:val="537"/>
        </w:trPr>
        <w:tc>
          <w:tcPr>
            <w:tcW w:w="2660" w:type="dxa"/>
            <w:shd w:val="clear" w:color="auto" w:fill="FFFFFF" w:themeFill="background1"/>
            <w:noWrap/>
          </w:tcPr>
          <w:p w:rsidR="008839E7" w:rsidRDefault="008F42EC">
            <w:r>
              <w:t>Literacy support for vulnerable pupils, through part funding of Librarian.</w:t>
            </w:r>
          </w:p>
        </w:tc>
        <w:tc>
          <w:tcPr>
            <w:tcW w:w="4252" w:type="dxa"/>
          </w:tcPr>
          <w:p w:rsidR="008839E7" w:rsidRDefault="008F42EC" w:rsidP="00282474">
            <w:r>
              <w:t xml:space="preserve">Our librarian devotes half her time to over-seeing Accelerated Reading sessions with pupils in Years 7 and 8. These sessions (1 hour a week for all pupils) make a significant difference to the ability of our pupils to become confident readers and access the curriculum. </w:t>
            </w:r>
          </w:p>
        </w:tc>
        <w:tc>
          <w:tcPr>
            <w:tcW w:w="3402" w:type="dxa"/>
          </w:tcPr>
          <w:p w:rsidR="008839E7" w:rsidRDefault="007E22DC" w:rsidP="008F42EC">
            <w:pPr>
              <w:pStyle w:val="ListParagraph"/>
              <w:numPr>
                <w:ilvl w:val="0"/>
                <w:numId w:val="4"/>
              </w:numPr>
            </w:pPr>
            <w:r>
              <w:t>Average r</w:t>
            </w:r>
            <w:r w:rsidR="008F42EC">
              <w:t>eading ages to improve by at least 10% a year.</w:t>
            </w:r>
          </w:p>
        </w:tc>
        <w:tc>
          <w:tcPr>
            <w:tcW w:w="1085" w:type="dxa"/>
            <w:noWrap/>
          </w:tcPr>
          <w:p w:rsidR="008839E7" w:rsidRPr="005F46AC" w:rsidRDefault="00A05823" w:rsidP="00282474">
            <w:r w:rsidRPr="005F46AC">
              <w:t>3,702</w:t>
            </w:r>
          </w:p>
        </w:tc>
        <w:tc>
          <w:tcPr>
            <w:tcW w:w="4018" w:type="dxa"/>
          </w:tcPr>
          <w:p w:rsidR="008839E7" w:rsidRDefault="008839E7" w:rsidP="00C449A9"/>
        </w:tc>
      </w:tr>
      <w:tr w:rsidR="00CA2C25" w:rsidRPr="00282474" w:rsidTr="00EC6132">
        <w:trPr>
          <w:trHeight w:val="537"/>
        </w:trPr>
        <w:tc>
          <w:tcPr>
            <w:tcW w:w="2660" w:type="dxa"/>
            <w:shd w:val="clear" w:color="auto" w:fill="FFFFFF" w:themeFill="background1"/>
            <w:noWrap/>
          </w:tcPr>
          <w:p w:rsidR="00CA2C25" w:rsidRDefault="007E22DC">
            <w:r>
              <w:t>Accelerated Reading package</w:t>
            </w:r>
          </w:p>
        </w:tc>
        <w:tc>
          <w:tcPr>
            <w:tcW w:w="4252" w:type="dxa"/>
          </w:tcPr>
          <w:p w:rsidR="00CA2C25" w:rsidRDefault="007E22DC" w:rsidP="00CA2C25">
            <w:r>
              <w:t>This is the software licence that we need to operate the Accelerated Reading scheme across two year groups. It is most powerful when used with pupils who are not in the habit of reading for pleasure and over the last three years that we have been running it with Years 7 and 8, we have seen reading ages improve.</w:t>
            </w:r>
          </w:p>
        </w:tc>
        <w:tc>
          <w:tcPr>
            <w:tcW w:w="3402" w:type="dxa"/>
          </w:tcPr>
          <w:p w:rsidR="00CA2C25" w:rsidRDefault="007E22DC" w:rsidP="007E22DC">
            <w:pPr>
              <w:pStyle w:val="ListParagraph"/>
              <w:numPr>
                <w:ilvl w:val="0"/>
                <w:numId w:val="4"/>
              </w:numPr>
            </w:pPr>
            <w:r>
              <w:t>Average reading ages to improve by at least 10% a year.</w:t>
            </w:r>
          </w:p>
        </w:tc>
        <w:tc>
          <w:tcPr>
            <w:tcW w:w="1085" w:type="dxa"/>
            <w:noWrap/>
          </w:tcPr>
          <w:p w:rsidR="00CA2C25" w:rsidRPr="005F46AC" w:rsidRDefault="00A05823" w:rsidP="00282474">
            <w:r w:rsidRPr="005F46AC">
              <w:t>3,702</w:t>
            </w:r>
          </w:p>
        </w:tc>
        <w:tc>
          <w:tcPr>
            <w:tcW w:w="4018" w:type="dxa"/>
          </w:tcPr>
          <w:p w:rsidR="00CA2C25" w:rsidRDefault="00CA2C25" w:rsidP="00EC6132"/>
        </w:tc>
      </w:tr>
      <w:tr w:rsidR="00EC6132" w:rsidRPr="00282474" w:rsidTr="00EC6132">
        <w:trPr>
          <w:trHeight w:val="537"/>
        </w:trPr>
        <w:tc>
          <w:tcPr>
            <w:tcW w:w="2660" w:type="dxa"/>
            <w:shd w:val="clear" w:color="auto" w:fill="FFFFFF" w:themeFill="background1"/>
            <w:noWrap/>
          </w:tcPr>
          <w:p w:rsidR="00EC6132" w:rsidRDefault="007E22DC" w:rsidP="00A05823">
            <w:r>
              <w:t>Texting service ‘Teachers to</w:t>
            </w:r>
            <w:r w:rsidR="00A05823">
              <w:t xml:space="preserve"> Parents’ and Parent </w:t>
            </w:r>
            <w:r>
              <w:t>Teacher Online.</w:t>
            </w:r>
          </w:p>
        </w:tc>
        <w:tc>
          <w:tcPr>
            <w:tcW w:w="4252" w:type="dxa"/>
          </w:tcPr>
          <w:p w:rsidR="00EC6132" w:rsidRDefault="007E22DC" w:rsidP="00282474">
            <w:r>
              <w:t>This is used extensively to let parents know of events and to encourage attendance at parents evenings. Also used to give positive texts home.</w:t>
            </w:r>
          </w:p>
          <w:p w:rsidR="007E22DC" w:rsidRDefault="007E22DC" w:rsidP="00282474">
            <w:r>
              <w:lastRenderedPageBreak/>
              <w:t>Parent Teacher Online is an ebooking facility for parents evenings.</w:t>
            </w:r>
          </w:p>
        </w:tc>
        <w:tc>
          <w:tcPr>
            <w:tcW w:w="3402" w:type="dxa"/>
          </w:tcPr>
          <w:p w:rsidR="00EC6132" w:rsidRDefault="007E22DC" w:rsidP="007E22DC">
            <w:pPr>
              <w:pStyle w:val="ListParagraph"/>
              <w:numPr>
                <w:ilvl w:val="0"/>
                <w:numId w:val="4"/>
              </w:numPr>
            </w:pPr>
            <w:r>
              <w:lastRenderedPageBreak/>
              <w:t>Improved participation by parents in parents evenings (at least 80% attendance.</w:t>
            </w:r>
          </w:p>
        </w:tc>
        <w:tc>
          <w:tcPr>
            <w:tcW w:w="1085" w:type="dxa"/>
            <w:noWrap/>
          </w:tcPr>
          <w:p w:rsidR="00EC6132" w:rsidRPr="005F46AC" w:rsidRDefault="007E22DC" w:rsidP="00282474">
            <w:r w:rsidRPr="005F46AC">
              <w:t>3,300</w:t>
            </w:r>
          </w:p>
          <w:p w:rsidR="008F38B9" w:rsidRPr="005F46AC" w:rsidRDefault="008F38B9" w:rsidP="00282474"/>
          <w:p w:rsidR="008F38B9" w:rsidRPr="005F46AC" w:rsidRDefault="008F38B9" w:rsidP="00282474">
            <w:r w:rsidRPr="005F46AC">
              <w:t>468</w:t>
            </w:r>
          </w:p>
        </w:tc>
        <w:tc>
          <w:tcPr>
            <w:tcW w:w="4018" w:type="dxa"/>
          </w:tcPr>
          <w:p w:rsidR="00EC6132" w:rsidRDefault="00EC6132" w:rsidP="00EC6132"/>
        </w:tc>
      </w:tr>
      <w:tr w:rsidR="008839E7" w:rsidRPr="00282474" w:rsidTr="00EC6132">
        <w:trPr>
          <w:trHeight w:val="537"/>
        </w:trPr>
        <w:tc>
          <w:tcPr>
            <w:tcW w:w="2660" w:type="dxa"/>
            <w:shd w:val="clear" w:color="auto" w:fill="FFFFFF" w:themeFill="background1"/>
            <w:noWrap/>
          </w:tcPr>
          <w:p w:rsidR="008839E7" w:rsidRPr="00E740E1" w:rsidRDefault="007E22DC" w:rsidP="00A54065">
            <w:r>
              <w:lastRenderedPageBreak/>
              <w:t>Darland App “School Says”</w:t>
            </w:r>
          </w:p>
        </w:tc>
        <w:tc>
          <w:tcPr>
            <w:tcW w:w="4252" w:type="dxa"/>
          </w:tcPr>
          <w:p w:rsidR="008839E7" w:rsidRPr="00282474" w:rsidRDefault="007E22DC" w:rsidP="00282474">
            <w:r>
              <w:t>Allows ease of access by parents to letters home and news.</w:t>
            </w:r>
          </w:p>
        </w:tc>
        <w:tc>
          <w:tcPr>
            <w:tcW w:w="3402" w:type="dxa"/>
          </w:tcPr>
          <w:p w:rsidR="008839E7" w:rsidRPr="00282474" w:rsidRDefault="007E22DC" w:rsidP="00282474">
            <w:r>
              <w:t>As above. Parents to be kept up to date with events at school.</w:t>
            </w:r>
          </w:p>
        </w:tc>
        <w:tc>
          <w:tcPr>
            <w:tcW w:w="1085" w:type="dxa"/>
            <w:noWrap/>
          </w:tcPr>
          <w:p w:rsidR="008839E7" w:rsidRPr="005F46AC" w:rsidRDefault="007E22DC" w:rsidP="00282474">
            <w:r w:rsidRPr="005F46AC">
              <w:t>750</w:t>
            </w:r>
          </w:p>
        </w:tc>
        <w:tc>
          <w:tcPr>
            <w:tcW w:w="4018" w:type="dxa"/>
          </w:tcPr>
          <w:p w:rsidR="008839E7" w:rsidRPr="00282474" w:rsidRDefault="008839E7" w:rsidP="00C449A9"/>
        </w:tc>
      </w:tr>
      <w:tr w:rsidR="00A05823" w:rsidRPr="00282474" w:rsidTr="007D460C">
        <w:trPr>
          <w:trHeight w:val="537"/>
        </w:trPr>
        <w:tc>
          <w:tcPr>
            <w:tcW w:w="2660" w:type="dxa"/>
            <w:tcBorders>
              <w:bottom w:val="single" w:sz="4" w:space="0" w:color="auto"/>
            </w:tcBorders>
            <w:shd w:val="clear" w:color="auto" w:fill="FFFFFF" w:themeFill="background1"/>
            <w:noWrap/>
          </w:tcPr>
          <w:p w:rsidR="00A05823" w:rsidRDefault="00A05823" w:rsidP="007D460C">
            <w:r>
              <w:t>Military Preparation College Training</w:t>
            </w:r>
          </w:p>
        </w:tc>
        <w:tc>
          <w:tcPr>
            <w:tcW w:w="4252" w:type="dxa"/>
            <w:tcBorders>
              <w:bottom w:val="single" w:sz="4" w:space="0" w:color="auto"/>
            </w:tcBorders>
          </w:tcPr>
          <w:p w:rsidR="00A05823" w:rsidRDefault="00A05823" w:rsidP="007D460C">
            <w:r>
              <w:t>This off site course takes pupils at risk of disengagement for one day a week and teaches them teamwork skills, leading to an award of a L2 BTEC in Public Services.</w:t>
            </w:r>
          </w:p>
        </w:tc>
        <w:tc>
          <w:tcPr>
            <w:tcW w:w="3402" w:type="dxa"/>
            <w:tcBorders>
              <w:bottom w:val="single" w:sz="4" w:space="0" w:color="auto"/>
            </w:tcBorders>
          </w:tcPr>
          <w:p w:rsidR="00A05823" w:rsidRDefault="00A05823" w:rsidP="007D460C">
            <w:r>
              <w:t>Improved outcomes at KS4 for ‘At Risk’ pupils</w:t>
            </w:r>
          </w:p>
        </w:tc>
        <w:tc>
          <w:tcPr>
            <w:tcW w:w="1085" w:type="dxa"/>
            <w:tcBorders>
              <w:bottom w:val="single" w:sz="4" w:space="0" w:color="auto"/>
            </w:tcBorders>
            <w:noWrap/>
          </w:tcPr>
          <w:p w:rsidR="00A05823" w:rsidRPr="005F46AC" w:rsidRDefault="0049095C" w:rsidP="007D460C">
            <w:r w:rsidRPr="005F46AC">
              <w:t>2,300</w:t>
            </w:r>
          </w:p>
        </w:tc>
        <w:tc>
          <w:tcPr>
            <w:tcW w:w="4018" w:type="dxa"/>
            <w:tcBorders>
              <w:bottom w:val="single" w:sz="4" w:space="0" w:color="auto"/>
            </w:tcBorders>
          </w:tcPr>
          <w:p w:rsidR="00A05823" w:rsidRDefault="00A05823" w:rsidP="007D460C"/>
        </w:tc>
      </w:tr>
      <w:tr w:rsidR="008839E7" w:rsidRPr="00282474" w:rsidTr="00EC6132">
        <w:trPr>
          <w:trHeight w:val="537"/>
        </w:trPr>
        <w:tc>
          <w:tcPr>
            <w:tcW w:w="2660" w:type="dxa"/>
            <w:shd w:val="clear" w:color="auto" w:fill="FFFFFF" w:themeFill="background1"/>
            <w:noWrap/>
          </w:tcPr>
          <w:p w:rsidR="008839E7" w:rsidRDefault="0049095C">
            <w:r>
              <w:t>Show My Homework</w:t>
            </w:r>
          </w:p>
        </w:tc>
        <w:tc>
          <w:tcPr>
            <w:tcW w:w="4252" w:type="dxa"/>
          </w:tcPr>
          <w:p w:rsidR="008839E7" w:rsidRDefault="0049095C" w:rsidP="00282474">
            <w:r>
              <w:t>This system allows parents to monitor the homework set for their children. It also helps LSAs who support homework set for ALN children.</w:t>
            </w:r>
          </w:p>
        </w:tc>
        <w:tc>
          <w:tcPr>
            <w:tcW w:w="3402" w:type="dxa"/>
          </w:tcPr>
          <w:p w:rsidR="008839E7" w:rsidRDefault="0049095C" w:rsidP="00282474">
            <w:r>
              <w:t>Almost all homework set to schedule. FSM pupils to meet targets at KS3 and KS4.</w:t>
            </w:r>
          </w:p>
        </w:tc>
        <w:tc>
          <w:tcPr>
            <w:tcW w:w="1085" w:type="dxa"/>
            <w:noWrap/>
          </w:tcPr>
          <w:p w:rsidR="008839E7" w:rsidRPr="005F46AC" w:rsidRDefault="0049095C" w:rsidP="00282474">
            <w:r w:rsidRPr="005F46AC">
              <w:t>2,750</w:t>
            </w:r>
          </w:p>
        </w:tc>
        <w:tc>
          <w:tcPr>
            <w:tcW w:w="4018" w:type="dxa"/>
          </w:tcPr>
          <w:p w:rsidR="008839E7" w:rsidRPr="00282474" w:rsidRDefault="008839E7" w:rsidP="00EC6132"/>
        </w:tc>
      </w:tr>
      <w:tr w:rsidR="0049095C" w:rsidRPr="00282474" w:rsidTr="007D460C">
        <w:trPr>
          <w:trHeight w:val="537"/>
        </w:trPr>
        <w:tc>
          <w:tcPr>
            <w:tcW w:w="2660" w:type="dxa"/>
            <w:tcBorders>
              <w:bottom w:val="single" w:sz="4" w:space="0" w:color="auto"/>
            </w:tcBorders>
            <w:shd w:val="clear" w:color="auto" w:fill="FFFFFF" w:themeFill="background1"/>
            <w:noWrap/>
          </w:tcPr>
          <w:p w:rsidR="0049095C" w:rsidRDefault="0049095C" w:rsidP="007D460C">
            <w:r>
              <w:t>Hardship fund for FSM pupils</w:t>
            </w:r>
          </w:p>
        </w:tc>
        <w:tc>
          <w:tcPr>
            <w:tcW w:w="4252" w:type="dxa"/>
            <w:tcBorders>
              <w:bottom w:val="single" w:sz="4" w:space="0" w:color="auto"/>
            </w:tcBorders>
          </w:tcPr>
          <w:p w:rsidR="0049095C" w:rsidRDefault="0049095C" w:rsidP="007D460C">
            <w:r>
              <w:t>This fund covers items like stationary, sports kit, items of uniform and Food Tech ingredients for FSM pupils. It also covers the cost of subsidising trips to the tune of 25% (as per School Charging Policy) for FSM pupils.</w:t>
            </w:r>
          </w:p>
        </w:tc>
        <w:tc>
          <w:tcPr>
            <w:tcW w:w="3402" w:type="dxa"/>
            <w:tcBorders>
              <w:bottom w:val="single" w:sz="4" w:space="0" w:color="auto"/>
            </w:tcBorders>
          </w:tcPr>
          <w:p w:rsidR="0049095C" w:rsidRDefault="0049095C" w:rsidP="007D460C">
            <w:r>
              <w:t>No FSM child to feel left out of curricular activities.</w:t>
            </w:r>
          </w:p>
        </w:tc>
        <w:tc>
          <w:tcPr>
            <w:tcW w:w="1085" w:type="dxa"/>
            <w:tcBorders>
              <w:bottom w:val="single" w:sz="4" w:space="0" w:color="auto"/>
            </w:tcBorders>
            <w:noWrap/>
          </w:tcPr>
          <w:p w:rsidR="0049095C" w:rsidRPr="005F46AC" w:rsidRDefault="0049095C" w:rsidP="007D460C">
            <w:r w:rsidRPr="005F46AC">
              <w:t>836</w:t>
            </w:r>
          </w:p>
        </w:tc>
        <w:tc>
          <w:tcPr>
            <w:tcW w:w="4018" w:type="dxa"/>
            <w:tcBorders>
              <w:bottom w:val="single" w:sz="4" w:space="0" w:color="auto"/>
            </w:tcBorders>
          </w:tcPr>
          <w:p w:rsidR="0049095C" w:rsidRDefault="0049095C" w:rsidP="007D460C"/>
        </w:tc>
      </w:tr>
      <w:tr w:rsidR="008839E7" w:rsidRPr="00282474" w:rsidTr="00EC6132">
        <w:trPr>
          <w:trHeight w:val="537"/>
        </w:trPr>
        <w:tc>
          <w:tcPr>
            <w:tcW w:w="2660" w:type="dxa"/>
            <w:shd w:val="clear" w:color="auto" w:fill="FFFFFF" w:themeFill="background1"/>
            <w:noWrap/>
          </w:tcPr>
          <w:p w:rsidR="008839E7" w:rsidRPr="00E740E1" w:rsidRDefault="0049095C">
            <w:r>
              <w:t xml:space="preserve">Spare uniform </w:t>
            </w:r>
          </w:p>
        </w:tc>
        <w:tc>
          <w:tcPr>
            <w:tcW w:w="4252" w:type="dxa"/>
          </w:tcPr>
          <w:p w:rsidR="008839E7" w:rsidRPr="00282474" w:rsidRDefault="0049095C" w:rsidP="00282474">
            <w:r>
              <w:t xml:space="preserve">Although there is a national uniform grant, if uniform is lost and damanged during the year, we do not want disadvantaged pupils to feel stigmatised </w:t>
            </w:r>
            <w:r w:rsidR="005F46AC">
              <w:t>by not having the correct uniform.</w:t>
            </w:r>
          </w:p>
        </w:tc>
        <w:tc>
          <w:tcPr>
            <w:tcW w:w="3402" w:type="dxa"/>
          </w:tcPr>
          <w:p w:rsidR="008839E7" w:rsidRPr="00282474" w:rsidRDefault="0049095C" w:rsidP="00282474">
            <w:r>
              <w:t>No disadvantaged pupil to be without uniform</w:t>
            </w:r>
          </w:p>
        </w:tc>
        <w:tc>
          <w:tcPr>
            <w:tcW w:w="1085" w:type="dxa"/>
            <w:noWrap/>
          </w:tcPr>
          <w:p w:rsidR="008839E7" w:rsidRPr="005F46AC" w:rsidRDefault="0049095C" w:rsidP="00282474">
            <w:r w:rsidRPr="005F46AC">
              <w:t>582</w:t>
            </w:r>
          </w:p>
        </w:tc>
        <w:tc>
          <w:tcPr>
            <w:tcW w:w="4018" w:type="dxa"/>
          </w:tcPr>
          <w:p w:rsidR="008839E7" w:rsidRPr="00282474" w:rsidRDefault="008839E7" w:rsidP="00C449A9"/>
        </w:tc>
      </w:tr>
    </w:tbl>
    <w:p w:rsidR="00916A5D" w:rsidRDefault="00916A5D"/>
    <w:sectPr w:rsidR="00916A5D" w:rsidSect="005F4DF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9E5"/>
    <w:multiLevelType w:val="hybridMultilevel"/>
    <w:tmpl w:val="F04A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0365AA"/>
    <w:multiLevelType w:val="hybridMultilevel"/>
    <w:tmpl w:val="D3C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A3AC7"/>
    <w:multiLevelType w:val="hybridMultilevel"/>
    <w:tmpl w:val="7E20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8F3D3C"/>
    <w:multiLevelType w:val="hybridMultilevel"/>
    <w:tmpl w:val="8FB2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05"/>
    <w:rsid w:val="0006035E"/>
    <w:rsid w:val="00071207"/>
    <w:rsid w:val="00097D98"/>
    <w:rsid w:val="000B282A"/>
    <w:rsid w:val="000D2872"/>
    <w:rsid w:val="00215E9E"/>
    <w:rsid w:val="00282474"/>
    <w:rsid w:val="00340DC6"/>
    <w:rsid w:val="0049095C"/>
    <w:rsid w:val="004C68D4"/>
    <w:rsid w:val="004F3B8B"/>
    <w:rsid w:val="004F4103"/>
    <w:rsid w:val="0050259C"/>
    <w:rsid w:val="00547534"/>
    <w:rsid w:val="0057049D"/>
    <w:rsid w:val="005F46AC"/>
    <w:rsid w:val="005F4DFC"/>
    <w:rsid w:val="00663577"/>
    <w:rsid w:val="006708BF"/>
    <w:rsid w:val="0069517A"/>
    <w:rsid w:val="006B5A82"/>
    <w:rsid w:val="00720D79"/>
    <w:rsid w:val="00721CE3"/>
    <w:rsid w:val="00747BBD"/>
    <w:rsid w:val="007873B3"/>
    <w:rsid w:val="00787677"/>
    <w:rsid w:val="00797DB4"/>
    <w:rsid w:val="007A2A05"/>
    <w:rsid w:val="007E22DC"/>
    <w:rsid w:val="007E606D"/>
    <w:rsid w:val="00817A9C"/>
    <w:rsid w:val="00882E46"/>
    <w:rsid w:val="008839E7"/>
    <w:rsid w:val="008D374B"/>
    <w:rsid w:val="008F09D2"/>
    <w:rsid w:val="008F38B9"/>
    <w:rsid w:val="008F42EC"/>
    <w:rsid w:val="00916A5D"/>
    <w:rsid w:val="00967CED"/>
    <w:rsid w:val="00A05823"/>
    <w:rsid w:val="00A25DEF"/>
    <w:rsid w:val="00A43C61"/>
    <w:rsid w:val="00A54065"/>
    <w:rsid w:val="00A92FC9"/>
    <w:rsid w:val="00A97C68"/>
    <w:rsid w:val="00AB668E"/>
    <w:rsid w:val="00B874B6"/>
    <w:rsid w:val="00BA1B26"/>
    <w:rsid w:val="00C23D8F"/>
    <w:rsid w:val="00C449A9"/>
    <w:rsid w:val="00CA2C25"/>
    <w:rsid w:val="00CD46C0"/>
    <w:rsid w:val="00D5236F"/>
    <w:rsid w:val="00D63A4B"/>
    <w:rsid w:val="00E11BA9"/>
    <w:rsid w:val="00E740E1"/>
    <w:rsid w:val="00EC6132"/>
    <w:rsid w:val="00F80615"/>
    <w:rsid w:val="00F9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7"/>
    <w:rPr>
      <w:rFonts w:ascii="Tahoma" w:hAnsi="Tahoma" w:cs="Tahoma"/>
      <w:sz w:val="16"/>
      <w:szCs w:val="16"/>
    </w:rPr>
  </w:style>
  <w:style w:type="paragraph" w:styleId="ListParagraph">
    <w:name w:val="List Paragraph"/>
    <w:basedOn w:val="Normal"/>
    <w:uiPriority w:val="34"/>
    <w:qFormat/>
    <w:rsid w:val="00A54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7"/>
    <w:rPr>
      <w:rFonts w:ascii="Tahoma" w:hAnsi="Tahoma" w:cs="Tahoma"/>
      <w:sz w:val="16"/>
      <w:szCs w:val="16"/>
    </w:rPr>
  </w:style>
  <w:style w:type="paragraph" w:styleId="ListParagraph">
    <w:name w:val="List Paragraph"/>
    <w:basedOn w:val="Normal"/>
    <w:uiPriority w:val="34"/>
    <w:qFormat/>
    <w:rsid w:val="00A5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Agnew</dc:creator>
  <cp:lastModifiedBy>Donna Adcock</cp:lastModifiedBy>
  <cp:revision>2</cp:revision>
  <cp:lastPrinted>2015-07-16T09:55:00Z</cp:lastPrinted>
  <dcterms:created xsi:type="dcterms:W3CDTF">2019-06-27T13:42:00Z</dcterms:created>
  <dcterms:modified xsi:type="dcterms:W3CDTF">2019-06-27T13:42:00Z</dcterms:modified>
</cp:coreProperties>
</file>